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87" w:rsidRPr="000047AC" w:rsidRDefault="00182D87" w:rsidP="00182D87">
      <w:pPr>
        <w:pStyle w:val="s15"/>
        <w:spacing w:before="0" w:beforeAutospacing="0" w:after="0" w:afterAutospacing="0"/>
      </w:pPr>
      <w:r w:rsidRPr="000047AC">
        <w:rPr>
          <w:rStyle w:val="s10"/>
          <w:bCs/>
        </w:rPr>
        <w:t>Статья 219.</w:t>
      </w:r>
      <w:r w:rsidRPr="000047AC">
        <w:t> Социальные налоговые вычеты</w:t>
      </w:r>
    </w:p>
    <w:p w:rsidR="000047AC" w:rsidRPr="000047AC" w:rsidRDefault="000047AC" w:rsidP="00182D87">
      <w:pPr>
        <w:pStyle w:val="s15"/>
        <w:spacing w:before="0" w:beforeAutospacing="0" w:after="0" w:afterAutospacing="0"/>
      </w:pPr>
    </w:p>
    <w:p w:rsidR="00182D87" w:rsidRPr="000047AC" w:rsidRDefault="00182D87" w:rsidP="00182D87">
      <w:pPr>
        <w:pStyle w:val="s1"/>
        <w:spacing w:before="0" w:beforeAutospacing="0" w:after="0" w:afterAutospacing="0"/>
        <w:ind w:firstLine="720"/>
        <w:jc w:val="both"/>
        <w:rPr>
          <w:b/>
        </w:rPr>
      </w:pPr>
      <w:r w:rsidRPr="000047AC">
        <w:rPr>
          <w:b/>
        </w:rPr>
        <w:t>1. При определении размера налоговой базы в соответствии с </w:t>
      </w:r>
      <w:hyperlink r:id="rId4" w:anchor="block_21003" w:history="1">
        <w:r w:rsidRPr="000047AC">
          <w:rPr>
            <w:rStyle w:val="a3"/>
            <w:b/>
            <w:color w:val="auto"/>
            <w:u w:val="none"/>
          </w:rPr>
          <w:t>пунктом 3 статьи 210</w:t>
        </w:r>
      </w:hyperlink>
      <w:r w:rsidRPr="000047AC">
        <w:rPr>
          <w:b/>
        </w:rPr>
        <w:t> настоящего Кодекса налогоплательщик имеет право на получение следующих социальных налоговых вычетов:</w:t>
      </w:r>
    </w:p>
    <w:p w:rsidR="00182D87" w:rsidRPr="000047AC" w:rsidRDefault="00182D87" w:rsidP="00182D87">
      <w:pPr>
        <w:pStyle w:val="s1"/>
        <w:spacing w:before="0" w:beforeAutospacing="0" w:after="0" w:afterAutospacing="0"/>
        <w:ind w:firstLine="720"/>
        <w:jc w:val="both"/>
      </w:pPr>
      <w:r w:rsidRPr="000047AC">
        <w:t>1)..</w:t>
      </w:r>
    </w:p>
    <w:p w:rsidR="00182D87" w:rsidRPr="000047AC" w:rsidRDefault="00182D87" w:rsidP="00182D87">
      <w:pPr>
        <w:pStyle w:val="s1"/>
        <w:spacing w:before="0" w:beforeAutospacing="0" w:after="0" w:afterAutospacing="0"/>
        <w:ind w:firstLine="720"/>
        <w:jc w:val="both"/>
      </w:pPr>
      <w:r w:rsidRPr="000047AC">
        <w:t>2)..</w:t>
      </w:r>
    </w:p>
    <w:p w:rsidR="00182D87" w:rsidRPr="000047AC" w:rsidRDefault="00182D87" w:rsidP="00182D87">
      <w:pPr>
        <w:pStyle w:val="s1"/>
        <w:spacing w:before="0" w:beforeAutospacing="0" w:after="0" w:afterAutospacing="0"/>
        <w:ind w:firstLine="720"/>
        <w:jc w:val="both"/>
      </w:pPr>
      <w:proofErr w:type="gramStart"/>
      <w:r w:rsidRPr="000047AC">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w:t>
      </w:r>
      <w:hyperlink r:id="rId5" w:anchor="block_1000" w:history="1">
        <w:r w:rsidRPr="000047AC">
          <w:rPr>
            <w:rStyle w:val="a3"/>
            <w:color w:val="auto"/>
            <w:u w:val="none"/>
          </w:rPr>
          <w:t>перечнем</w:t>
        </w:r>
      </w:hyperlink>
      <w:r w:rsidRPr="000047AC">
        <w:t>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w:t>
      </w:r>
      <w:proofErr w:type="gramEnd"/>
      <w:r w:rsidRPr="000047AC">
        <w:t xml:space="preserve"> (в соответствии с </w:t>
      </w:r>
      <w:hyperlink r:id="rId6" w:anchor="block_2000" w:history="1">
        <w:r w:rsidRPr="000047AC">
          <w:rPr>
            <w:rStyle w:val="a3"/>
            <w:color w:val="auto"/>
            <w:u w:val="none"/>
          </w:rPr>
          <w:t>перечнем</w:t>
        </w:r>
      </w:hyperlink>
      <w:r w:rsidRPr="000047AC">
        <w:t>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182D87" w:rsidRPr="000047AC" w:rsidRDefault="00182D87" w:rsidP="00182D87">
      <w:pPr>
        <w:pStyle w:val="s1"/>
        <w:spacing w:before="0" w:beforeAutospacing="0" w:after="0" w:afterAutospacing="0"/>
        <w:ind w:firstLine="720"/>
        <w:jc w:val="both"/>
      </w:pPr>
      <w:proofErr w:type="gramStart"/>
      <w:r w:rsidRPr="000047AC">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w:t>
      </w:r>
      <w:proofErr w:type="gramEnd"/>
      <w:r w:rsidRPr="000047AC">
        <w:t xml:space="preserve">, </w:t>
      </w:r>
      <w:proofErr w:type="gramStart"/>
      <w:r w:rsidRPr="000047AC">
        <w:t>предусматривающим</w:t>
      </w:r>
      <w:proofErr w:type="gramEnd"/>
      <w:r w:rsidRPr="000047AC">
        <w:t xml:space="preserve"> оплату такими страховыми организациями исключительно медицинских услуг.</w:t>
      </w:r>
    </w:p>
    <w:p w:rsidR="00182D87" w:rsidRPr="000047AC" w:rsidRDefault="00182D87" w:rsidP="00182D87">
      <w:pPr>
        <w:pStyle w:val="s1"/>
        <w:spacing w:before="0" w:beforeAutospacing="0" w:after="0" w:afterAutospacing="0"/>
        <w:ind w:firstLine="720"/>
        <w:jc w:val="both"/>
      </w:pPr>
      <w:r w:rsidRPr="000047AC">
        <w:t>Общая сумма социального налогового вычета, предусмотренного </w:t>
      </w:r>
      <w:hyperlink r:id="rId7" w:anchor="block_21913" w:history="1">
        <w:r w:rsidRPr="000047AC">
          <w:rPr>
            <w:rStyle w:val="a3"/>
            <w:color w:val="auto"/>
            <w:u w:val="none"/>
          </w:rPr>
          <w:t>абзацами первым</w:t>
        </w:r>
      </w:hyperlink>
      <w:r w:rsidRPr="000047AC">
        <w:t> и </w:t>
      </w:r>
      <w:hyperlink r:id="rId8" w:anchor="block_219132" w:history="1">
        <w:r w:rsidRPr="000047AC">
          <w:rPr>
            <w:rStyle w:val="a3"/>
            <w:color w:val="auto"/>
            <w:u w:val="none"/>
          </w:rPr>
          <w:t>вторым</w:t>
        </w:r>
      </w:hyperlink>
      <w:r w:rsidRPr="000047AC">
        <w:t> настоящего подпункта, принимается в размере фактически произведенных расходов, но с учетом ограничения, установленного </w:t>
      </w:r>
      <w:hyperlink r:id="rId9" w:anchor="block_21902" w:history="1">
        <w:r w:rsidRPr="000047AC">
          <w:rPr>
            <w:rStyle w:val="a3"/>
            <w:color w:val="auto"/>
            <w:u w:val="none"/>
          </w:rPr>
          <w:t>пунктом 2</w:t>
        </w:r>
      </w:hyperlink>
      <w:r w:rsidRPr="000047AC">
        <w:t> настоящей статьи.</w:t>
      </w:r>
    </w:p>
    <w:p w:rsidR="00182D87" w:rsidRPr="000047AC" w:rsidRDefault="00182D87" w:rsidP="00182D87">
      <w:pPr>
        <w:pStyle w:val="s1"/>
        <w:spacing w:before="0" w:beforeAutospacing="0" w:after="0" w:afterAutospacing="0"/>
        <w:ind w:firstLine="720"/>
        <w:jc w:val="both"/>
      </w:pPr>
      <w:r w:rsidRPr="000047AC">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w:t>
      </w:r>
      <w:hyperlink r:id="rId10" w:anchor="block_3000" w:history="1">
        <w:r w:rsidRPr="000047AC">
          <w:rPr>
            <w:rStyle w:val="a3"/>
            <w:color w:val="auto"/>
            <w:u w:val="none"/>
          </w:rPr>
          <w:t>Перечень</w:t>
        </w:r>
      </w:hyperlink>
      <w:r w:rsidRPr="000047AC">
        <w:t> дорогостоящих видов лечения утверждается постановлением Правительства Российской Федерации.</w:t>
      </w:r>
    </w:p>
    <w:p w:rsidR="00182D87" w:rsidRPr="000047AC" w:rsidRDefault="00182D87" w:rsidP="00182D87">
      <w:pPr>
        <w:pStyle w:val="s1"/>
        <w:spacing w:before="0" w:beforeAutospacing="0" w:after="0" w:afterAutospacing="0"/>
        <w:ind w:firstLine="720"/>
        <w:jc w:val="both"/>
      </w:pPr>
      <w:proofErr w:type="gramStart"/>
      <w:r w:rsidRPr="000047AC">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w:t>
      </w:r>
      <w:proofErr w:type="gramEnd"/>
      <w:r w:rsidRPr="000047AC">
        <w:t xml:space="preserve"> взносов.</w:t>
      </w:r>
    </w:p>
    <w:p w:rsidR="00182D87" w:rsidRPr="000047AC" w:rsidRDefault="00182D87" w:rsidP="00182D87">
      <w:pPr>
        <w:pStyle w:val="s1"/>
        <w:spacing w:before="0" w:beforeAutospacing="0" w:after="0" w:afterAutospacing="0"/>
        <w:ind w:firstLine="720"/>
        <w:jc w:val="both"/>
      </w:pPr>
      <w:r w:rsidRPr="000047AC">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0047AC" w:rsidRPr="000047AC" w:rsidRDefault="000047AC" w:rsidP="00182D87">
      <w:pPr>
        <w:pStyle w:val="s1"/>
        <w:spacing w:before="0" w:beforeAutospacing="0" w:after="0" w:afterAutospacing="0"/>
        <w:ind w:firstLine="720"/>
        <w:jc w:val="both"/>
      </w:pPr>
    </w:p>
    <w:p w:rsidR="000047AC" w:rsidRPr="000047AC" w:rsidRDefault="000047AC" w:rsidP="00182D87">
      <w:pPr>
        <w:pStyle w:val="s1"/>
        <w:spacing w:before="0" w:beforeAutospacing="0" w:after="0" w:afterAutospacing="0"/>
        <w:ind w:firstLine="720"/>
        <w:jc w:val="both"/>
      </w:pPr>
    </w:p>
    <w:p w:rsidR="00182D87" w:rsidRPr="000047AC" w:rsidRDefault="00182D87" w:rsidP="00182D87">
      <w:pPr>
        <w:pStyle w:val="s1"/>
        <w:spacing w:before="0" w:beforeAutospacing="0" w:after="0" w:afterAutospacing="0"/>
        <w:ind w:firstLine="720"/>
        <w:jc w:val="both"/>
        <w:rPr>
          <w:b/>
        </w:rPr>
      </w:pPr>
      <w:r w:rsidRPr="000047AC">
        <w:rPr>
          <w:b/>
        </w:rPr>
        <w:t>2. Социальные налоговые вычеты, предусмотренные </w:t>
      </w:r>
      <w:hyperlink r:id="rId11" w:anchor="block_2191" w:history="1">
        <w:r w:rsidRPr="000047AC">
          <w:rPr>
            <w:rStyle w:val="a3"/>
            <w:b/>
            <w:color w:val="auto"/>
            <w:u w:val="none"/>
          </w:rPr>
          <w:t>пунктом 1</w:t>
        </w:r>
      </w:hyperlink>
      <w:r w:rsidRPr="000047AC">
        <w:rPr>
          <w:b/>
        </w:rPr>
        <w:t> настоящей статьи, предоставляются при подаче </w:t>
      </w:r>
      <w:hyperlink r:id="rId12" w:anchor="block_7" w:history="1">
        <w:r w:rsidRPr="000047AC">
          <w:rPr>
            <w:rStyle w:val="a3"/>
            <w:b/>
            <w:color w:val="auto"/>
            <w:u w:val="none"/>
          </w:rPr>
          <w:t>налоговой декларации</w:t>
        </w:r>
      </w:hyperlink>
      <w:r w:rsidRPr="000047AC">
        <w:rPr>
          <w:b/>
        </w:rPr>
        <w:t> в налоговый орган налогоплательщиком по окончании </w:t>
      </w:r>
      <w:hyperlink r:id="rId13" w:anchor="block_216" w:history="1">
        <w:r w:rsidRPr="000047AC">
          <w:rPr>
            <w:rStyle w:val="a3"/>
            <w:b/>
            <w:color w:val="auto"/>
            <w:u w:val="none"/>
          </w:rPr>
          <w:t>налогового периода</w:t>
        </w:r>
      </w:hyperlink>
      <w:r w:rsidRPr="000047AC">
        <w:rPr>
          <w:b/>
        </w:rPr>
        <w:t>, если иное не предусмотрено настоящим пунктом.</w:t>
      </w:r>
    </w:p>
    <w:p w:rsidR="00182D87" w:rsidRPr="000047AC" w:rsidRDefault="00182D87" w:rsidP="00182D87">
      <w:pPr>
        <w:pStyle w:val="s1"/>
        <w:spacing w:before="0" w:beforeAutospacing="0" w:after="0" w:afterAutospacing="0"/>
        <w:ind w:firstLine="720"/>
        <w:jc w:val="both"/>
      </w:pPr>
      <w:proofErr w:type="gramStart"/>
      <w:r w:rsidRPr="000047AC">
        <w:lastRenderedPageBreak/>
        <w:t>Социальные налоговые вычеты, предусмотренные </w:t>
      </w:r>
      <w:hyperlink r:id="rId14" w:anchor="block_2192" w:history="1">
        <w:r w:rsidRPr="000047AC">
          <w:rPr>
            <w:rStyle w:val="a3"/>
            <w:color w:val="auto"/>
            <w:u w:val="none"/>
          </w:rPr>
          <w:t>подпунктами 2</w:t>
        </w:r>
      </w:hyperlink>
      <w:r w:rsidRPr="000047AC">
        <w:t> и </w:t>
      </w:r>
      <w:hyperlink r:id="rId15" w:anchor="block_21913" w:history="1">
        <w:r w:rsidRPr="000047AC">
          <w:rPr>
            <w:rStyle w:val="a3"/>
            <w:color w:val="auto"/>
            <w:u w:val="none"/>
          </w:rPr>
          <w:t>3 пункта 1</w:t>
        </w:r>
      </w:hyperlink>
      <w:r w:rsidRPr="000047AC">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16" w:anchor="block_21914" w:history="1">
        <w:r w:rsidRPr="000047AC">
          <w:rPr>
            <w:rStyle w:val="a3"/>
            <w:color w:val="auto"/>
            <w:u w:val="none"/>
          </w:rPr>
          <w:t>подпунктом 4 пункта 1</w:t>
        </w:r>
      </w:hyperlink>
      <w:r w:rsidRPr="000047AC">
        <w:t>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представления налогоплательщиком налоговому</w:t>
      </w:r>
      <w:proofErr w:type="gramEnd"/>
      <w:r w:rsidRPr="000047AC">
        <w:t xml:space="preserve"> агенту подтверждения права налогоплательщика на получение социальных налоговых вычетов, выданного налогоплательщику налоговым органом по форме,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w:t>
      </w:r>
      <w:hyperlink r:id="rId17" w:anchor="block_1000" w:history="1">
        <w:r w:rsidRPr="000047AC">
          <w:rPr>
            <w:rStyle w:val="a3"/>
            <w:color w:val="auto"/>
            <w:u w:val="none"/>
          </w:rPr>
          <w:t>заявления</w:t>
        </w:r>
      </w:hyperlink>
      <w:r w:rsidRPr="000047AC">
        <w:t> и документов, подтверждающих право на получение указанных социальных налоговых вычетов.</w:t>
      </w:r>
    </w:p>
    <w:p w:rsidR="00182D87" w:rsidRPr="000047AC" w:rsidRDefault="00182D87" w:rsidP="00182D87">
      <w:pPr>
        <w:pStyle w:val="s1"/>
        <w:spacing w:before="0" w:beforeAutospacing="0" w:after="0" w:afterAutospacing="0"/>
        <w:ind w:firstLine="720"/>
        <w:jc w:val="both"/>
      </w:pPr>
      <w:proofErr w:type="gramStart"/>
      <w:r w:rsidRPr="000047AC">
        <w:t>Социальные налоговые вычеты, предусмотренные </w:t>
      </w:r>
      <w:hyperlink r:id="rId18" w:anchor="block_2192" w:history="1">
        <w:r w:rsidRPr="000047AC">
          <w:rPr>
            <w:rStyle w:val="a3"/>
            <w:color w:val="auto"/>
            <w:u w:val="none"/>
          </w:rPr>
          <w:t>подпунктами 2</w:t>
        </w:r>
      </w:hyperlink>
      <w:r w:rsidRPr="000047AC">
        <w:t> и </w:t>
      </w:r>
      <w:hyperlink r:id="rId19" w:anchor="block_21913" w:history="1">
        <w:r w:rsidRPr="000047AC">
          <w:rPr>
            <w:rStyle w:val="a3"/>
            <w:color w:val="auto"/>
            <w:u w:val="none"/>
          </w:rPr>
          <w:t>3 пункта 1</w:t>
        </w:r>
      </w:hyperlink>
      <w:r w:rsidRPr="000047AC">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20" w:anchor="block_21914" w:history="1">
        <w:r w:rsidRPr="000047AC">
          <w:rPr>
            <w:rStyle w:val="a3"/>
            <w:color w:val="auto"/>
            <w:u w:val="none"/>
          </w:rPr>
          <w:t>подпунктом 4 пункта 1</w:t>
        </w:r>
      </w:hyperlink>
      <w:r w:rsidRPr="000047AC">
        <w:t>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абзацем вторым настоящего пункта.</w:t>
      </w:r>
      <w:proofErr w:type="gramEnd"/>
    </w:p>
    <w:p w:rsidR="00182D87" w:rsidRPr="000047AC" w:rsidRDefault="00182D87" w:rsidP="00182D87">
      <w:pPr>
        <w:pStyle w:val="s1"/>
        <w:spacing w:before="0" w:beforeAutospacing="0" w:after="0" w:afterAutospacing="0"/>
        <w:ind w:firstLine="720"/>
        <w:jc w:val="both"/>
      </w:pPr>
      <w:r w:rsidRPr="000047AC">
        <w:t>В случае</w:t>
      </w:r>
      <w:proofErr w:type="gramStart"/>
      <w:r w:rsidRPr="000047AC">
        <w:t>,</w:t>
      </w:r>
      <w:proofErr w:type="gramEnd"/>
      <w:r w:rsidRPr="000047AC">
        <w:t xml:space="preserve"> если после обращения налогоплательщика в установленном порядке к налоговому агенту за получением социальных налоговых вычетов, предусмотренных </w:t>
      </w:r>
      <w:hyperlink r:id="rId21" w:anchor="block_2192" w:history="1">
        <w:r w:rsidRPr="000047AC">
          <w:rPr>
            <w:rStyle w:val="a3"/>
            <w:color w:val="auto"/>
            <w:u w:val="none"/>
          </w:rPr>
          <w:t>подпунктами 2</w:t>
        </w:r>
      </w:hyperlink>
      <w:r w:rsidRPr="000047AC">
        <w:t> и </w:t>
      </w:r>
      <w:hyperlink r:id="rId22" w:anchor="block_21913" w:history="1">
        <w:r w:rsidRPr="000047AC">
          <w:rPr>
            <w:rStyle w:val="a3"/>
            <w:color w:val="auto"/>
            <w:u w:val="none"/>
          </w:rPr>
          <w:t>3 пункта 1</w:t>
        </w:r>
      </w:hyperlink>
      <w:r w:rsidRPr="000047AC">
        <w:t> настоящей статьи, и социального налогового вычета в сумме страховых взносов по договору (договорам) добровольного страхования жизни, предусмотренного </w:t>
      </w:r>
      <w:hyperlink r:id="rId23" w:anchor="block_21914" w:history="1">
        <w:r w:rsidRPr="000047AC">
          <w:rPr>
            <w:rStyle w:val="a3"/>
            <w:color w:val="auto"/>
            <w:u w:val="none"/>
          </w:rPr>
          <w:t>подпунктом 4 пункта 1</w:t>
        </w:r>
      </w:hyperlink>
      <w:r w:rsidRPr="000047AC">
        <w:t>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w:t>
      </w:r>
      <w:hyperlink r:id="rId24" w:anchor="block_231" w:history="1">
        <w:r w:rsidRPr="000047AC">
          <w:rPr>
            <w:rStyle w:val="a3"/>
            <w:color w:val="auto"/>
            <w:u w:val="none"/>
          </w:rPr>
          <w:t>статьей 231</w:t>
        </w:r>
      </w:hyperlink>
      <w:r w:rsidRPr="000047AC">
        <w:t> настоящего Кодекса.</w:t>
      </w:r>
    </w:p>
    <w:p w:rsidR="00182D87" w:rsidRPr="000047AC" w:rsidRDefault="00182D87" w:rsidP="00182D87">
      <w:pPr>
        <w:pStyle w:val="s1"/>
        <w:spacing w:before="0" w:beforeAutospacing="0" w:after="0" w:afterAutospacing="0"/>
        <w:ind w:firstLine="720"/>
        <w:jc w:val="both"/>
      </w:pPr>
      <w:r w:rsidRPr="000047AC">
        <w:t>В случае</w:t>
      </w:r>
      <w:proofErr w:type="gramStart"/>
      <w:r w:rsidRPr="000047AC">
        <w:t>,</w:t>
      </w:r>
      <w:proofErr w:type="gramEnd"/>
      <w:r w:rsidRPr="000047AC">
        <w:t xml:space="preserve"> если в течение налогового периода социальные налоговые вычеты, предусмотренные </w:t>
      </w:r>
      <w:hyperlink r:id="rId25" w:anchor="block_2192" w:history="1">
        <w:r w:rsidRPr="000047AC">
          <w:rPr>
            <w:rStyle w:val="a3"/>
            <w:color w:val="auto"/>
            <w:u w:val="none"/>
          </w:rPr>
          <w:t>подпунктами 2</w:t>
        </w:r>
      </w:hyperlink>
      <w:r w:rsidRPr="000047AC">
        <w:t> и </w:t>
      </w:r>
      <w:hyperlink r:id="rId26" w:anchor="block_21913" w:history="1">
        <w:r w:rsidRPr="000047AC">
          <w:rPr>
            <w:rStyle w:val="a3"/>
            <w:color w:val="auto"/>
            <w:u w:val="none"/>
          </w:rPr>
          <w:t>3 пункта 1</w:t>
        </w:r>
      </w:hyperlink>
      <w:r w:rsidRPr="000047AC">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27" w:anchor="block_21914" w:history="1">
        <w:r w:rsidRPr="000047AC">
          <w:rPr>
            <w:rStyle w:val="a3"/>
            <w:color w:val="auto"/>
            <w:u w:val="none"/>
          </w:rPr>
          <w:t>подпунктом 4 пункта 1</w:t>
        </w:r>
      </w:hyperlink>
      <w:r w:rsidRPr="000047AC">
        <w:t> настоящей статьи, предоставлены налогоплательщику в меньшем размере, чем предусмотрено настоящей статьей, налогоплательщик имеет право на их получение в порядке, предусмотренном </w:t>
      </w:r>
      <w:hyperlink r:id="rId28" w:anchor="block_21902" w:history="1">
        <w:r w:rsidRPr="000047AC">
          <w:rPr>
            <w:rStyle w:val="a3"/>
            <w:color w:val="auto"/>
            <w:u w:val="none"/>
          </w:rPr>
          <w:t>абзацем первым</w:t>
        </w:r>
      </w:hyperlink>
      <w:r w:rsidRPr="000047AC">
        <w:t> настоящего пункта.</w:t>
      </w:r>
    </w:p>
    <w:p w:rsidR="00182D87" w:rsidRPr="000047AC" w:rsidRDefault="00182D87" w:rsidP="00182D87">
      <w:pPr>
        <w:pStyle w:val="s1"/>
        <w:spacing w:before="0" w:beforeAutospacing="0" w:after="0" w:afterAutospacing="0"/>
        <w:ind w:firstLine="720"/>
        <w:jc w:val="both"/>
      </w:pPr>
      <w:proofErr w:type="gramStart"/>
      <w:r w:rsidRPr="000047AC">
        <w:t>Социальные налоговые вычеты, предусмотренные </w:t>
      </w:r>
      <w:hyperlink r:id="rId29" w:anchor="block_21914" w:history="1">
        <w:r w:rsidRPr="000047AC">
          <w:rPr>
            <w:rStyle w:val="a3"/>
            <w:color w:val="auto"/>
            <w:u w:val="none"/>
          </w:rPr>
          <w:t>подпунктами 4</w:t>
        </w:r>
      </w:hyperlink>
      <w:r w:rsidRPr="000047AC">
        <w:t> и </w:t>
      </w:r>
      <w:hyperlink r:id="rId30" w:anchor="block_21915" w:history="1">
        <w:r w:rsidRPr="000047AC">
          <w:rPr>
            <w:rStyle w:val="a3"/>
            <w:color w:val="auto"/>
            <w:u w:val="none"/>
          </w:rPr>
          <w:t>5 пункта 1 </w:t>
        </w:r>
      </w:hyperlink>
      <w:r w:rsidRPr="000047AC">
        <w:t>настоящей статьи (за исключением социального налогового вычета в размере расходов на уплату страховых взносов по договору (договорам) добровольного страхования жизни),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подпунктами 4 и 5 пункта 1 настоящей</w:t>
      </w:r>
      <w:proofErr w:type="gramEnd"/>
      <w:r w:rsidRPr="000047AC">
        <w:t xml:space="preserve">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182D87" w:rsidRPr="000047AC" w:rsidRDefault="00182D87" w:rsidP="00182D87">
      <w:pPr>
        <w:pStyle w:val="s1"/>
        <w:spacing w:before="0" w:beforeAutospacing="0" w:after="0" w:afterAutospacing="0"/>
        <w:ind w:firstLine="720"/>
        <w:jc w:val="both"/>
      </w:pPr>
      <w:proofErr w:type="gramStart"/>
      <w:r w:rsidRPr="000047AC">
        <w:t>Социальные налоговые вычеты, предусмотренные </w:t>
      </w:r>
      <w:hyperlink r:id="rId31" w:anchor="block_2192" w:history="1">
        <w:r w:rsidRPr="000047AC">
          <w:rPr>
            <w:rStyle w:val="a3"/>
            <w:color w:val="auto"/>
            <w:u w:val="none"/>
          </w:rPr>
          <w:t>подпунктами 2 - 6 пункта 1</w:t>
        </w:r>
      </w:hyperlink>
      <w:r w:rsidRPr="000047AC">
        <w:t> настоящей статьи (за исключением вычетов в размере расходов на обучение детей налогоплательщика, указанных в </w:t>
      </w:r>
      <w:hyperlink r:id="rId32" w:anchor="block_2192" w:history="1">
        <w:r w:rsidRPr="000047AC">
          <w:rPr>
            <w:rStyle w:val="a3"/>
            <w:color w:val="auto"/>
            <w:u w:val="none"/>
          </w:rPr>
          <w:t>подпункте 2 пункта 1</w:t>
        </w:r>
      </w:hyperlink>
      <w:r w:rsidRPr="000047AC">
        <w:t> настоящей статьи, и расходов на дорогостоящее лечение, указанных в </w:t>
      </w:r>
      <w:hyperlink r:id="rId33" w:anchor="block_21913" w:history="1">
        <w:r w:rsidRPr="000047AC">
          <w:rPr>
            <w:rStyle w:val="a3"/>
            <w:color w:val="auto"/>
            <w:u w:val="none"/>
          </w:rPr>
          <w:t>подпункте 3 пункта 1</w:t>
        </w:r>
      </w:hyperlink>
      <w:r w:rsidRPr="000047AC">
        <w:t> настоящей статьи), предоставляются в размере фактически произведенных расходов, но в совокупности не</w:t>
      </w:r>
      <w:proofErr w:type="gramEnd"/>
      <w:r w:rsidRPr="000047AC">
        <w:t xml:space="preserve"> </w:t>
      </w:r>
      <w:r w:rsidRPr="000047AC">
        <w:lastRenderedPageBreak/>
        <w:t xml:space="preserve">более 120 000 рублей за налоговый период. </w:t>
      </w:r>
      <w:proofErr w:type="gramStart"/>
      <w:r w:rsidRPr="000047AC">
        <w:t>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w:t>
      </w:r>
      <w:hyperlink r:id="rId34" w:history="1">
        <w:r w:rsidRPr="000047AC">
          <w:rPr>
            <w:rStyle w:val="a3"/>
            <w:color w:val="auto"/>
            <w:u w:val="none"/>
          </w:rPr>
          <w:t>Федеральным законом</w:t>
        </w:r>
      </w:hyperlink>
      <w:r w:rsidRPr="000047AC">
        <w:t> "О</w:t>
      </w:r>
      <w:proofErr w:type="gramEnd"/>
      <w:r w:rsidRPr="000047AC">
        <w:t xml:space="preserve"> </w:t>
      </w:r>
      <w:proofErr w:type="gramStart"/>
      <w:r w:rsidRPr="000047AC">
        <w:t>дополнительных страховых взносах на накопительную пенсию и государственной поддержке формирования пенсионных накоплений" либо по оплате прохождения независимой оценки своей квалификации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roofErr w:type="gramEnd"/>
    </w:p>
    <w:p w:rsidR="00DB4A34" w:rsidRPr="000047AC" w:rsidRDefault="000047AC">
      <w:pPr>
        <w:rPr>
          <w:rFonts w:ascii="Times New Roman" w:hAnsi="Times New Roman" w:cs="Times New Roman"/>
          <w:sz w:val="24"/>
          <w:szCs w:val="24"/>
        </w:rPr>
      </w:pPr>
    </w:p>
    <w:sectPr w:rsidR="00DB4A34" w:rsidRPr="000047AC" w:rsidSect="007A3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D87"/>
    <w:rsid w:val="000047AC"/>
    <w:rsid w:val="00182D87"/>
    <w:rsid w:val="005170E3"/>
    <w:rsid w:val="007A30F2"/>
    <w:rsid w:val="009F6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18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82D87"/>
  </w:style>
  <w:style w:type="paragraph" w:customStyle="1" w:styleId="s1">
    <w:name w:val="s_1"/>
    <w:basedOn w:val="a"/>
    <w:rsid w:val="0018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2D87"/>
    <w:rPr>
      <w:color w:val="0000FF"/>
      <w:u w:val="single"/>
    </w:rPr>
  </w:style>
</w:styles>
</file>

<file path=word/webSettings.xml><?xml version="1.0" encoding="utf-8"?>
<w:webSettings xmlns:r="http://schemas.openxmlformats.org/officeDocument/2006/relationships" xmlns:w="http://schemas.openxmlformats.org/wordprocessingml/2006/main">
  <w:divs>
    <w:div w:id="32771060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88">
          <w:marLeft w:val="0"/>
          <w:marRight w:val="0"/>
          <w:marTop w:val="0"/>
          <w:marBottom w:val="0"/>
          <w:divBdr>
            <w:top w:val="none" w:sz="0" w:space="0" w:color="auto"/>
            <w:left w:val="none" w:sz="0" w:space="0" w:color="auto"/>
            <w:bottom w:val="none" w:sz="0" w:space="0" w:color="auto"/>
            <w:right w:val="none" w:sz="0" w:space="0" w:color="auto"/>
          </w:divBdr>
        </w:div>
        <w:div w:id="80939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2c2d4c47652499da777b2c19de85035c/" TargetMode="External"/><Relationship Id="rId13" Type="http://schemas.openxmlformats.org/officeDocument/2006/relationships/hyperlink" Target="http://nalog.garant.ru/fns/nk/5238b92273675adfd991e702ca69ad4c/" TargetMode="External"/><Relationship Id="rId18" Type="http://schemas.openxmlformats.org/officeDocument/2006/relationships/hyperlink" Target="http://nalog.garant.ru/fns/nk/2c2d4c47652499da777b2c19de85035c/" TargetMode="External"/><Relationship Id="rId26" Type="http://schemas.openxmlformats.org/officeDocument/2006/relationships/hyperlink" Target="http://nalog.garant.ru/fns/nk/2c2d4c47652499da777b2c19de85035c/" TargetMode="External"/><Relationship Id="rId3" Type="http://schemas.openxmlformats.org/officeDocument/2006/relationships/webSettings" Target="webSettings.xml"/><Relationship Id="rId21" Type="http://schemas.openxmlformats.org/officeDocument/2006/relationships/hyperlink" Target="http://nalog.garant.ru/fns/nk/2c2d4c47652499da777b2c19de85035c/" TargetMode="External"/><Relationship Id="rId34" Type="http://schemas.openxmlformats.org/officeDocument/2006/relationships/hyperlink" Target="http://base.garant.ru/12160189/" TargetMode="External"/><Relationship Id="rId7" Type="http://schemas.openxmlformats.org/officeDocument/2006/relationships/hyperlink" Target="http://nalog.garant.ru/fns/nk/2c2d4c47652499da777b2c19de85035c/" TargetMode="External"/><Relationship Id="rId12" Type="http://schemas.openxmlformats.org/officeDocument/2006/relationships/hyperlink" Target="http://base.garant.ru/70858002/e88847e78ccd9fdb54482c7fa15982bf/" TargetMode="External"/><Relationship Id="rId17" Type="http://schemas.openxmlformats.org/officeDocument/2006/relationships/hyperlink" Target="http://base.garant.ru/71611788/" TargetMode="External"/><Relationship Id="rId25" Type="http://schemas.openxmlformats.org/officeDocument/2006/relationships/hyperlink" Target="http://nalog.garant.ru/fns/nk/2c2d4c47652499da777b2c19de85035c/" TargetMode="External"/><Relationship Id="rId33" Type="http://schemas.openxmlformats.org/officeDocument/2006/relationships/hyperlink" Target="http://nalog.garant.ru/fns/nk/2c2d4c47652499da777b2c19de85035c/" TargetMode="External"/><Relationship Id="rId2" Type="http://schemas.openxmlformats.org/officeDocument/2006/relationships/settings" Target="settings.xml"/><Relationship Id="rId16" Type="http://schemas.openxmlformats.org/officeDocument/2006/relationships/hyperlink" Target="http://nalog.garant.ru/fns/nk/2c2d4c47652499da777b2c19de85035c/" TargetMode="External"/><Relationship Id="rId20" Type="http://schemas.openxmlformats.org/officeDocument/2006/relationships/hyperlink" Target="http://nalog.garant.ru/fns/nk/2c2d4c47652499da777b2c19de85035c/" TargetMode="External"/><Relationship Id="rId29" Type="http://schemas.openxmlformats.org/officeDocument/2006/relationships/hyperlink" Target="http://nalog.garant.ru/fns/nk/2c2d4c47652499da777b2c19de85035c/" TargetMode="External"/><Relationship Id="rId1" Type="http://schemas.openxmlformats.org/officeDocument/2006/relationships/styles" Target="styles.xml"/><Relationship Id="rId6" Type="http://schemas.openxmlformats.org/officeDocument/2006/relationships/hyperlink" Target="http://base.garant.ru/12122317/" TargetMode="External"/><Relationship Id="rId11" Type="http://schemas.openxmlformats.org/officeDocument/2006/relationships/hyperlink" Target="http://nalog.garant.ru/fns/nk/2c2d4c47652499da777b2c19de85035c/" TargetMode="External"/><Relationship Id="rId24" Type="http://schemas.openxmlformats.org/officeDocument/2006/relationships/hyperlink" Target="http://nalog.garant.ru/fns/nk/3465915f1e5eef32b066eb0d304d06dc/" TargetMode="External"/><Relationship Id="rId32" Type="http://schemas.openxmlformats.org/officeDocument/2006/relationships/hyperlink" Target="http://nalog.garant.ru/fns/nk/2c2d4c47652499da777b2c19de85035c/" TargetMode="External"/><Relationship Id="rId5" Type="http://schemas.openxmlformats.org/officeDocument/2006/relationships/hyperlink" Target="http://base.garant.ru/12122317/" TargetMode="External"/><Relationship Id="rId15" Type="http://schemas.openxmlformats.org/officeDocument/2006/relationships/hyperlink" Target="http://nalog.garant.ru/fns/nk/2c2d4c47652499da777b2c19de85035c/" TargetMode="External"/><Relationship Id="rId23" Type="http://schemas.openxmlformats.org/officeDocument/2006/relationships/hyperlink" Target="http://nalog.garant.ru/fns/nk/2c2d4c47652499da777b2c19de85035c/" TargetMode="External"/><Relationship Id="rId28" Type="http://schemas.openxmlformats.org/officeDocument/2006/relationships/hyperlink" Target="http://nalog.garant.ru/fns/nk/2c2d4c47652499da777b2c19de85035c/" TargetMode="External"/><Relationship Id="rId36" Type="http://schemas.openxmlformats.org/officeDocument/2006/relationships/theme" Target="theme/theme1.xml"/><Relationship Id="rId10" Type="http://schemas.openxmlformats.org/officeDocument/2006/relationships/hyperlink" Target="http://base.garant.ru/12122317/" TargetMode="External"/><Relationship Id="rId19" Type="http://schemas.openxmlformats.org/officeDocument/2006/relationships/hyperlink" Target="http://nalog.garant.ru/fns/nk/2c2d4c47652499da777b2c19de85035c/" TargetMode="External"/><Relationship Id="rId31" Type="http://schemas.openxmlformats.org/officeDocument/2006/relationships/hyperlink" Target="http://nalog.garant.ru/fns/nk/2c2d4c47652499da777b2c19de85035c/" TargetMode="External"/><Relationship Id="rId4" Type="http://schemas.openxmlformats.org/officeDocument/2006/relationships/hyperlink" Target="http://nalog.garant.ru/fns/nk/6a3eaa02cea3fe2db1e9b04e275d1439/" TargetMode="External"/><Relationship Id="rId9" Type="http://schemas.openxmlformats.org/officeDocument/2006/relationships/hyperlink" Target="http://nalog.garant.ru/fns/nk/2c2d4c47652499da777b2c19de85035c/" TargetMode="External"/><Relationship Id="rId14" Type="http://schemas.openxmlformats.org/officeDocument/2006/relationships/hyperlink" Target="http://nalog.garant.ru/fns/nk/2c2d4c47652499da777b2c19de85035c/" TargetMode="External"/><Relationship Id="rId22" Type="http://schemas.openxmlformats.org/officeDocument/2006/relationships/hyperlink" Target="http://nalog.garant.ru/fns/nk/2c2d4c47652499da777b2c19de85035c/" TargetMode="External"/><Relationship Id="rId27" Type="http://schemas.openxmlformats.org/officeDocument/2006/relationships/hyperlink" Target="http://nalog.garant.ru/fns/nk/2c2d4c47652499da777b2c19de85035c/" TargetMode="External"/><Relationship Id="rId30" Type="http://schemas.openxmlformats.org/officeDocument/2006/relationships/hyperlink" Target="http://nalog.garant.ru/fns/nk/2c2d4c47652499da777b2c19de85035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2018-02-08T10:49:00Z</dcterms:created>
  <dcterms:modified xsi:type="dcterms:W3CDTF">2018-02-08T10:52:00Z</dcterms:modified>
</cp:coreProperties>
</file>